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57" w:rsidRPr="00B35AEB" w:rsidRDefault="006073D3" w:rsidP="00B35AEB">
      <w:pPr>
        <w:jc w:val="center"/>
        <w:rPr>
          <w:rFonts w:asciiTheme="majorHAnsi" w:hAnsiTheme="majorHAnsi" w:cstheme="majorHAnsi"/>
          <w:b/>
          <w:sz w:val="28"/>
          <w:szCs w:val="28"/>
          <w:lang w:val="en-US"/>
        </w:rPr>
      </w:pPr>
      <w:r w:rsidRPr="00B35AEB">
        <w:rPr>
          <w:rFonts w:asciiTheme="majorHAnsi" w:hAnsiTheme="majorHAnsi" w:cstheme="majorHAnsi"/>
          <w:b/>
          <w:sz w:val="28"/>
          <w:szCs w:val="28"/>
          <w:lang w:val="en-US"/>
        </w:rPr>
        <w:t>TỔNG HỢP NHIỆM VỤ CÔNG TÁC CÁC ĐƠN VỊ TRONG QUÝ II</w:t>
      </w:r>
      <w:r w:rsidR="004B2E5F">
        <w:rPr>
          <w:rFonts w:asciiTheme="majorHAnsi" w:hAnsiTheme="majorHAnsi" w:cstheme="majorHAnsi"/>
          <w:b/>
          <w:sz w:val="28"/>
          <w:szCs w:val="28"/>
          <w:lang w:val="en-US"/>
        </w:rPr>
        <w:t>/2017</w:t>
      </w:r>
    </w:p>
    <w:tbl>
      <w:tblPr>
        <w:tblStyle w:val="TableGrid"/>
        <w:tblW w:w="14502" w:type="dxa"/>
        <w:tblLook w:val="04A0"/>
      </w:tblPr>
      <w:tblGrid>
        <w:gridCol w:w="872"/>
        <w:gridCol w:w="2780"/>
        <w:gridCol w:w="8647"/>
        <w:gridCol w:w="2203"/>
      </w:tblGrid>
      <w:tr w:rsidR="006073D3" w:rsidTr="00B35AEB">
        <w:trPr>
          <w:trHeight w:val="148"/>
        </w:trPr>
        <w:tc>
          <w:tcPr>
            <w:tcW w:w="872" w:type="dxa"/>
          </w:tcPr>
          <w:p w:rsidR="006073D3" w:rsidRPr="00B35AEB" w:rsidRDefault="006073D3">
            <w:pPr>
              <w:ind w:firstLine="0"/>
              <w:rPr>
                <w:rFonts w:asciiTheme="majorHAnsi" w:hAnsiTheme="majorHAnsi" w:cstheme="majorHAnsi"/>
                <w:b/>
                <w:sz w:val="28"/>
                <w:szCs w:val="28"/>
                <w:lang w:val="en-US"/>
              </w:rPr>
            </w:pPr>
            <w:r w:rsidRPr="00B35AEB">
              <w:rPr>
                <w:rFonts w:asciiTheme="majorHAnsi" w:hAnsiTheme="majorHAnsi" w:cstheme="majorHAnsi"/>
                <w:b/>
                <w:sz w:val="28"/>
                <w:szCs w:val="28"/>
                <w:lang w:val="en-US"/>
              </w:rPr>
              <w:t>STT</w:t>
            </w:r>
          </w:p>
        </w:tc>
        <w:tc>
          <w:tcPr>
            <w:tcW w:w="2780" w:type="dxa"/>
          </w:tcPr>
          <w:p w:rsidR="006073D3" w:rsidRPr="00B35AEB" w:rsidRDefault="006073D3">
            <w:pPr>
              <w:ind w:firstLine="0"/>
              <w:rPr>
                <w:rFonts w:asciiTheme="majorHAnsi" w:hAnsiTheme="majorHAnsi" w:cstheme="majorHAnsi"/>
                <w:b/>
                <w:sz w:val="28"/>
                <w:szCs w:val="28"/>
                <w:lang w:val="en-US"/>
              </w:rPr>
            </w:pPr>
            <w:r w:rsidRPr="00B35AEB">
              <w:rPr>
                <w:rFonts w:asciiTheme="majorHAnsi" w:hAnsiTheme="majorHAnsi" w:cstheme="majorHAnsi"/>
                <w:b/>
                <w:sz w:val="28"/>
                <w:szCs w:val="28"/>
                <w:lang w:val="en-US"/>
              </w:rPr>
              <w:t>TÊN ĐƠN VỊ</w:t>
            </w:r>
          </w:p>
        </w:tc>
        <w:tc>
          <w:tcPr>
            <w:tcW w:w="8647" w:type="dxa"/>
          </w:tcPr>
          <w:p w:rsidR="006073D3" w:rsidRPr="00B35AEB" w:rsidRDefault="006073D3">
            <w:pPr>
              <w:ind w:firstLine="0"/>
              <w:rPr>
                <w:rFonts w:asciiTheme="majorHAnsi" w:hAnsiTheme="majorHAnsi" w:cstheme="majorHAnsi"/>
                <w:b/>
                <w:sz w:val="28"/>
                <w:szCs w:val="28"/>
                <w:lang w:val="en-US"/>
              </w:rPr>
            </w:pPr>
            <w:r w:rsidRPr="00B35AEB">
              <w:rPr>
                <w:rFonts w:asciiTheme="majorHAnsi" w:hAnsiTheme="majorHAnsi" w:cstheme="majorHAnsi"/>
                <w:b/>
                <w:sz w:val="28"/>
                <w:szCs w:val="28"/>
                <w:lang w:val="en-US"/>
              </w:rPr>
              <w:t>NHIỆM VỤ CÔNG TÁC</w:t>
            </w:r>
          </w:p>
        </w:tc>
        <w:tc>
          <w:tcPr>
            <w:tcW w:w="2203" w:type="dxa"/>
          </w:tcPr>
          <w:p w:rsidR="006073D3" w:rsidRPr="00B35AEB" w:rsidRDefault="006073D3">
            <w:pPr>
              <w:ind w:firstLine="0"/>
              <w:rPr>
                <w:rFonts w:asciiTheme="majorHAnsi" w:hAnsiTheme="majorHAnsi" w:cstheme="majorHAnsi"/>
                <w:b/>
                <w:sz w:val="28"/>
                <w:szCs w:val="28"/>
                <w:lang w:val="en-US"/>
              </w:rPr>
            </w:pPr>
            <w:r w:rsidRPr="00B35AEB">
              <w:rPr>
                <w:rFonts w:asciiTheme="majorHAnsi" w:hAnsiTheme="majorHAnsi" w:cstheme="majorHAnsi"/>
                <w:b/>
                <w:sz w:val="28"/>
                <w:szCs w:val="28"/>
                <w:lang w:val="en-US"/>
              </w:rPr>
              <w:t>THỜI HẠN</w:t>
            </w:r>
            <w:r w:rsidR="00394F97" w:rsidRPr="00B35AEB">
              <w:rPr>
                <w:rFonts w:asciiTheme="majorHAnsi" w:hAnsiTheme="majorHAnsi" w:cstheme="majorHAnsi"/>
                <w:b/>
                <w:sz w:val="28"/>
                <w:szCs w:val="28"/>
                <w:lang w:val="en-US"/>
              </w:rPr>
              <w:t xml:space="preserve"> HOÀN THÀNH</w:t>
            </w:r>
          </w:p>
        </w:tc>
      </w:tr>
      <w:tr w:rsidR="00B35AEB" w:rsidTr="00B35AEB">
        <w:trPr>
          <w:trHeight w:val="148"/>
        </w:trPr>
        <w:tc>
          <w:tcPr>
            <w:tcW w:w="872" w:type="dxa"/>
            <w:vMerge w:val="restart"/>
          </w:tcPr>
          <w:p w:rsidR="00B35AEB" w:rsidRDefault="00B35AEB">
            <w:pPr>
              <w:ind w:firstLine="0"/>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2780" w:type="dxa"/>
            <w:vMerge w:val="restart"/>
          </w:tcPr>
          <w:p w:rsidR="00B35AEB" w:rsidRPr="004B2E5F" w:rsidRDefault="00B35AEB">
            <w:pPr>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Khoa Pháp luật thương mại quốc tế</w:t>
            </w:r>
          </w:p>
        </w:tc>
        <w:tc>
          <w:tcPr>
            <w:tcW w:w="8647" w:type="dxa"/>
          </w:tcPr>
          <w:p w:rsidR="00B35AEB" w:rsidRPr="004B2E5F" w:rsidRDefault="00B35AEB" w:rsidP="005A7CD4">
            <w:pPr>
              <w:tabs>
                <w:tab w:val="left" w:pos="188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ab/>
              <w:t>Tiếp tục thực hiện Đề tài khoa học cấp Trường: "Hoàn thiện nội dung và phương pháp giảng dạy môn học Hợp đồng thương mại quốc tế và các giao dịch kinh doanh quốc tế trong chương trình đào tạo cử nhân ngành Luật thương mại quốc tế tại Trường Đại học Luật Hà Nội”</w:t>
            </w:r>
          </w:p>
        </w:tc>
        <w:tc>
          <w:tcPr>
            <w:tcW w:w="2203" w:type="dxa"/>
          </w:tcPr>
          <w:p w:rsidR="00B35AEB" w:rsidRPr="004B2E5F" w:rsidRDefault="00B35AEB" w:rsidP="006073D3">
            <w:pPr>
              <w:tabs>
                <w:tab w:val="left" w:pos="188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Tháng 5/2017</w:t>
            </w:r>
          </w:p>
        </w:tc>
      </w:tr>
      <w:tr w:rsidR="00B35AEB" w:rsidTr="00B35AEB">
        <w:trPr>
          <w:trHeight w:val="148"/>
        </w:trPr>
        <w:tc>
          <w:tcPr>
            <w:tcW w:w="872" w:type="dxa"/>
            <w:vMerge/>
          </w:tcPr>
          <w:p w:rsidR="00B35AEB" w:rsidRDefault="00B35AEB">
            <w:pPr>
              <w:ind w:firstLine="0"/>
              <w:rPr>
                <w:rFonts w:asciiTheme="majorHAnsi" w:hAnsiTheme="majorHAnsi" w:cstheme="majorHAnsi"/>
                <w:sz w:val="28"/>
                <w:szCs w:val="28"/>
                <w:lang w:val="en-US"/>
              </w:rPr>
            </w:pPr>
          </w:p>
        </w:tc>
        <w:tc>
          <w:tcPr>
            <w:tcW w:w="2780" w:type="dxa"/>
            <w:vMerge/>
          </w:tcPr>
          <w:p w:rsidR="00B35AEB" w:rsidRPr="004B2E5F" w:rsidRDefault="00B35AEB">
            <w:pPr>
              <w:ind w:firstLine="0"/>
              <w:rPr>
                <w:rFonts w:asciiTheme="majorHAnsi" w:hAnsiTheme="majorHAnsi" w:cstheme="majorHAnsi"/>
                <w:sz w:val="28"/>
                <w:szCs w:val="28"/>
                <w:highlight w:val="yellow"/>
                <w:lang w:val="en-US"/>
              </w:rPr>
            </w:pPr>
          </w:p>
        </w:tc>
        <w:tc>
          <w:tcPr>
            <w:tcW w:w="8647" w:type="dxa"/>
          </w:tcPr>
          <w:p w:rsidR="00B35AEB" w:rsidRPr="004B2E5F" w:rsidRDefault="00B35AEB" w:rsidP="005A7CD4">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ab/>
              <w:t>Thực hiện Đề tài khoa học cấp Trường: «Hoàn thiện nội dung và phương pháp giảng dạy môn học Quyền sở hữu trí tuệ trong hoạt động thương mại quốc tế của doanh nghiệp trong chương trình đào tạo cử nhân ngành Luật thương mại quốc tế tại Trường Đại học Luật Hà Nội”</w:t>
            </w:r>
          </w:p>
        </w:tc>
        <w:tc>
          <w:tcPr>
            <w:tcW w:w="2203" w:type="dxa"/>
          </w:tcPr>
          <w:p w:rsidR="00B35AEB" w:rsidRPr="004B2E5F" w:rsidRDefault="00B35AEB" w:rsidP="006073D3">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Tháng 5/2017</w:t>
            </w:r>
          </w:p>
        </w:tc>
      </w:tr>
      <w:tr w:rsidR="00B35AEB" w:rsidTr="00B35AEB">
        <w:trPr>
          <w:trHeight w:val="148"/>
        </w:trPr>
        <w:tc>
          <w:tcPr>
            <w:tcW w:w="872" w:type="dxa"/>
            <w:vMerge/>
          </w:tcPr>
          <w:p w:rsidR="00B35AEB" w:rsidRDefault="00B35AEB">
            <w:pPr>
              <w:ind w:firstLine="0"/>
              <w:rPr>
                <w:rFonts w:asciiTheme="majorHAnsi" w:hAnsiTheme="majorHAnsi" w:cstheme="majorHAnsi"/>
                <w:sz w:val="28"/>
                <w:szCs w:val="28"/>
                <w:lang w:val="en-US"/>
              </w:rPr>
            </w:pPr>
          </w:p>
        </w:tc>
        <w:tc>
          <w:tcPr>
            <w:tcW w:w="2780" w:type="dxa"/>
            <w:vMerge/>
          </w:tcPr>
          <w:p w:rsidR="00B35AEB" w:rsidRPr="004B2E5F" w:rsidRDefault="00B35AEB">
            <w:pPr>
              <w:ind w:firstLine="0"/>
              <w:rPr>
                <w:rFonts w:asciiTheme="majorHAnsi" w:hAnsiTheme="majorHAnsi" w:cstheme="majorHAnsi"/>
                <w:sz w:val="28"/>
                <w:szCs w:val="28"/>
                <w:highlight w:val="yellow"/>
                <w:lang w:val="en-US"/>
              </w:rPr>
            </w:pPr>
          </w:p>
        </w:tc>
        <w:tc>
          <w:tcPr>
            <w:tcW w:w="8647" w:type="dxa"/>
          </w:tcPr>
          <w:p w:rsidR="00B35AEB" w:rsidRPr="004B2E5F" w:rsidRDefault="00B35AEB" w:rsidP="005A7CD4">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ab/>
              <w:t>Tổ chức Hội thảo cấp Khoa «Quyền sở hữu trí tuệ trong hoạt động thương mại quốc tế của doanh nghiệp Việt Nam»</w:t>
            </w:r>
          </w:p>
        </w:tc>
        <w:tc>
          <w:tcPr>
            <w:tcW w:w="2203" w:type="dxa"/>
          </w:tcPr>
          <w:p w:rsidR="00B35AEB" w:rsidRPr="004B2E5F" w:rsidRDefault="00B35AEB" w:rsidP="006073D3">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Tháng 6/2017</w:t>
            </w:r>
          </w:p>
        </w:tc>
      </w:tr>
      <w:tr w:rsidR="00B35AEB" w:rsidTr="00B35AEB">
        <w:trPr>
          <w:trHeight w:val="148"/>
        </w:trPr>
        <w:tc>
          <w:tcPr>
            <w:tcW w:w="872" w:type="dxa"/>
            <w:vMerge/>
          </w:tcPr>
          <w:p w:rsidR="00B35AEB" w:rsidRDefault="00B35AEB">
            <w:pPr>
              <w:ind w:firstLine="0"/>
              <w:rPr>
                <w:rFonts w:asciiTheme="majorHAnsi" w:hAnsiTheme="majorHAnsi" w:cstheme="majorHAnsi"/>
                <w:sz w:val="28"/>
                <w:szCs w:val="28"/>
                <w:lang w:val="en-US"/>
              </w:rPr>
            </w:pPr>
          </w:p>
        </w:tc>
        <w:tc>
          <w:tcPr>
            <w:tcW w:w="2780" w:type="dxa"/>
            <w:vMerge/>
          </w:tcPr>
          <w:p w:rsidR="00B35AEB" w:rsidRPr="004B2E5F" w:rsidRDefault="00B35AEB">
            <w:pPr>
              <w:ind w:firstLine="0"/>
              <w:rPr>
                <w:rFonts w:asciiTheme="majorHAnsi" w:hAnsiTheme="majorHAnsi" w:cstheme="majorHAnsi"/>
                <w:sz w:val="28"/>
                <w:szCs w:val="28"/>
                <w:highlight w:val="yellow"/>
                <w:lang w:val="en-US"/>
              </w:rPr>
            </w:pPr>
          </w:p>
        </w:tc>
        <w:tc>
          <w:tcPr>
            <w:tcW w:w="8647" w:type="dxa"/>
          </w:tcPr>
          <w:p w:rsidR="00B35AEB" w:rsidRPr="004B2E5F" w:rsidRDefault="00B35AEB" w:rsidP="005A7CD4">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Chuẩn bị hồ sơ báo cáo đào tạo thí điểm cử nhân ngành Luật thương mại quốc tế từ năm 2011 đến năm 2017; đề xuất Bộ Giáo dục - Đào tạo phê duyệt đào tạo chính thức cử nhân ngành Luật thương mại quốc tế</w:t>
            </w:r>
          </w:p>
        </w:tc>
        <w:tc>
          <w:tcPr>
            <w:tcW w:w="2203" w:type="dxa"/>
          </w:tcPr>
          <w:p w:rsidR="00B35AEB" w:rsidRPr="004B2E5F" w:rsidRDefault="00B35AEB" w:rsidP="006073D3">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Quý II/2017</w:t>
            </w:r>
          </w:p>
          <w:p w:rsidR="00B35AEB" w:rsidRPr="004B2E5F" w:rsidRDefault="00B35AEB" w:rsidP="006073D3">
            <w:pPr>
              <w:rPr>
                <w:rFonts w:asciiTheme="majorHAnsi" w:hAnsiTheme="majorHAnsi" w:cstheme="majorHAnsi"/>
                <w:sz w:val="28"/>
                <w:szCs w:val="28"/>
                <w:highlight w:val="yellow"/>
                <w:lang w:val="en-US"/>
              </w:rPr>
            </w:pPr>
          </w:p>
          <w:p w:rsidR="00B35AEB" w:rsidRPr="004B2E5F" w:rsidRDefault="00B35AEB" w:rsidP="006073D3">
            <w:pPr>
              <w:rPr>
                <w:rFonts w:asciiTheme="majorHAnsi" w:hAnsiTheme="majorHAnsi" w:cstheme="majorHAnsi"/>
                <w:sz w:val="28"/>
                <w:szCs w:val="28"/>
                <w:highlight w:val="yellow"/>
                <w:lang w:val="en-US"/>
              </w:rPr>
            </w:pPr>
          </w:p>
          <w:p w:rsidR="00B35AEB" w:rsidRPr="004B2E5F" w:rsidRDefault="00B35AEB" w:rsidP="006073D3">
            <w:pPr>
              <w:rPr>
                <w:rFonts w:asciiTheme="majorHAnsi" w:hAnsiTheme="majorHAnsi" w:cstheme="majorHAnsi"/>
                <w:sz w:val="28"/>
                <w:szCs w:val="28"/>
                <w:highlight w:val="yellow"/>
                <w:lang w:val="en-US"/>
              </w:rPr>
            </w:pPr>
          </w:p>
        </w:tc>
      </w:tr>
      <w:tr w:rsidR="00B35AEB" w:rsidTr="00B35AEB">
        <w:trPr>
          <w:trHeight w:val="148"/>
        </w:trPr>
        <w:tc>
          <w:tcPr>
            <w:tcW w:w="872" w:type="dxa"/>
            <w:vMerge/>
          </w:tcPr>
          <w:p w:rsidR="00B35AEB" w:rsidRDefault="00B35AEB">
            <w:pPr>
              <w:ind w:firstLine="0"/>
              <w:rPr>
                <w:rFonts w:asciiTheme="majorHAnsi" w:hAnsiTheme="majorHAnsi" w:cstheme="majorHAnsi"/>
                <w:sz w:val="28"/>
                <w:szCs w:val="28"/>
                <w:lang w:val="en-US"/>
              </w:rPr>
            </w:pPr>
          </w:p>
        </w:tc>
        <w:tc>
          <w:tcPr>
            <w:tcW w:w="2780" w:type="dxa"/>
            <w:vMerge/>
          </w:tcPr>
          <w:p w:rsidR="00B35AEB" w:rsidRDefault="00B35AEB">
            <w:pPr>
              <w:ind w:firstLine="0"/>
              <w:rPr>
                <w:rFonts w:asciiTheme="majorHAnsi" w:hAnsiTheme="majorHAnsi" w:cstheme="majorHAnsi"/>
                <w:sz w:val="28"/>
                <w:szCs w:val="28"/>
                <w:lang w:val="en-US"/>
              </w:rPr>
            </w:pPr>
          </w:p>
        </w:tc>
        <w:tc>
          <w:tcPr>
            <w:tcW w:w="8647" w:type="dxa"/>
          </w:tcPr>
          <w:p w:rsidR="00B35AEB" w:rsidRPr="004B2E5F" w:rsidRDefault="00B35AEB" w:rsidP="005A7CD4">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Tổ chức Hội chợ việc làm cho sinh viên ngành Luật thương mại quốc tế</w:t>
            </w:r>
          </w:p>
        </w:tc>
        <w:tc>
          <w:tcPr>
            <w:tcW w:w="2203" w:type="dxa"/>
          </w:tcPr>
          <w:p w:rsidR="00B35AEB" w:rsidRPr="004B2E5F" w:rsidRDefault="00B35AEB" w:rsidP="006073D3">
            <w:pPr>
              <w:tabs>
                <w:tab w:val="left" w:pos="960"/>
              </w:tabs>
              <w:ind w:firstLine="0"/>
              <w:rPr>
                <w:rFonts w:asciiTheme="majorHAnsi" w:hAnsiTheme="majorHAnsi" w:cstheme="majorHAnsi"/>
                <w:sz w:val="28"/>
                <w:szCs w:val="28"/>
                <w:highlight w:val="yellow"/>
                <w:lang w:val="en-US"/>
              </w:rPr>
            </w:pPr>
            <w:r w:rsidRPr="004B2E5F">
              <w:rPr>
                <w:rFonts w:asciiTheme="majorHAnsi" w:hAnsiTheme="majorHAnsi" w:cstheme="majorHAnsi"/>
                <w:sz w:val="28"/>
                <w:szCs w:val="28"/>
                <w:highlight w:val="yellow"/>
                <w:lang w:val="en-US"/>
              </w:rPr>
              <w:t>Quý II/2017</w:t>
            </w:r>
          </w:p>
        </w:tc>
      </w:tr>
      <w:tr w:rsidR="006073D3" w:rsidTr="00B35AEB">
        <w:trPr>
          <w:trHeight w:val="148"/>
        </w:trPr>
        <w:tc>
          <w:tcPr>
            <w:tcW w:w="872" w:type="dxa"/>
          </w:tcPr>
          <w:p w:rsidR="006073D3" w:rsidRDefault="006073D3">
            <w:pPr>
              <w:ind w:firstLine="0"/>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2780" w:type="dxa"/>
          </w:tcPr>
          <w:p w:rsidR="006073D3" w:rsidRDefault="006073D3">
            <w:pPr>
              <w:ind w:firstLine="0"/>
              <w:rPr>
                <w:rFonts w:asciiTheme="majorHAnsi" w:hAnsiTheme="majorHAnsi" w:cstheme="majorHAnsi"/>
                <w:sz w:val="28"/>
                <w:szCs w:val="28"/>
                <w:lang w:val="en-US"/>
              </w:rPr>
            </w:pPr>
            <w:r>
              <w:rPr>
                <w:rFonts w:asciiTheme="majorHAnsi" w:hAnsiTheme="majorHAnsi" w:cstheme="majorHAnsi"/>
                <w:sz w:val="28"/>
                <w:szCs w:val="28"/>
                <w:lang w:val="en-US"/>
              </w:rPr>
              <w:t>Bộ môn Giáo dục thể chất</w:t>
            </w:r>
          </w:p>
        </w:tc>
        <w:tc>
          <w:tcPr>
            <w:tcW w:w="8647" w:type="dxa"/>
          </w:tcPr>
          <w:p w:rsidR="006073D3" w:rsidRPr="006073D3" w:rsidRDefault="00394F97"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Viết tập bài giảng môn Giáo dục thể chất</w:t>
            </w:r>
          </w:p>
        </w:tc>
        <w:tc>
          <w:tcPr>
            <w:tcW w:w="2203" w:type="dxa"/>
          </w:tcPr>
          <w:p w:rsidR="006073D3"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6/2017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p>
        </w:tc>
        <w:tc>
          <w:tcPr>
            <w:tcW w:w="2780" w:type="dxa"/>
          </w:tcPr>
          <w:p w:rsidR="00394F97" w:rsidRDefault="00394F97">
            <w:pPr>
              <w:ind w:firstLine="0"/>
              <w:rPr>
                <w:rFonts w:asciiTheme="majorHAnsi" w:hAnsiTheme="majorHAnsi" w:cstheme="majorHAnsi"/>
                <w:sz w:val="28"/>
                <w:szCs w:val="28"/>
                <w:lang w:val="en-US"/>
              </w:rPr>
            </w:pPr>
          </w:p>
        </w:tc>
        <w:tc>
          <w:tcPr>
            <w:tcW w:w="8647" w:type="dxa"/>
          </w:tcPr>
          <w:p w:rsidR="00394F97" w:rsidRDefault="00394F97"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Thuê sân bãi phục vụ công tác giảng dạy</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6/2017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Bộ môn Ngoại ngữ</w:t>
            </w:r>
          </w:p>
        </w:tc>
        <w:tc>
          <w:tcPr>
            <w:tcW w:w="8647" w:type="dxa"/>
          </w:tcPr>
          <w:p w:rsidR="00394F97" w:rsidRDefault="00394F97"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Tổ chức 02 Hội thảo (01 cấp trường và 01 cấp khoa)</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6, tháng 10/2017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p>
        </w:tc>
        <w:tc>
          <w:tcPr>
            <w:tcW w:w="8647" w:type="dxa"/>
          </w:tcPr>
          <w:p w:rsidR="00394F97" w:rsidRDefault="00394F97"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Xây dựng chương trình bồi dưỡng Tiếng Anh pháp lý dành cho giảng viên và chuyên viên</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Quý II, III/2017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p>
        </w:tc>
        <w:tc>
          <w:tcPr>
            <w:tcW w:w="8647" w:type="dxa"/>
          </w:tcPr>
          <w:p w:rsidR="00394F97" w:rsidRDefault="00394F97"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 xml:space="preserve">Xây dựng chương trình bồi dưỡng Tiếng Anh cho các ứng viên Giáo sư, </w:t>
            </w:r>
            <w:r>
              <w:rPr>
                <w:rFonts w:asciiTheme="majorHAnsi" w:hAnsiTheme="majorHAnsi" w:cstheme="majorHAnsi"/>
                <w:sz w:val="28"/>
                <w:szCs w:val="28"/>
                <w:lang w:val="en-US"/>
              </w:rPr>
              <w:lastRenderedPageBreak/>
              <w:t>Phó Giáo sư</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lastRenderedPageBreak/>
              <w:t>Quý II, III/2017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r>
              <w:rPr>
                <w:rFonts w:asciiTheme="majorHAnsi" w:hAnsiTheme="majorHAnsi" w:cstheme="majorHAnsi"/>
                <w:sz w:val="28"/>
                <w:szCs w:val="28"/>
                <w:lang w:val="en-US"/>
              </w:rPr>
              <w:lastRenderedPageBreak/>
              <w:t>4</w:t>
            </w: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Phòng Quản lý Khoa học và trị sự Tạp chí</w:t>
            </w:r>
          </w:p>
        </w:tc>
        <w:tc>
          <w:tcPr>
            <w:tcW w:w="8647" w:type="dxa"/>
          </w:tcPr>
          <w:p w:rsidR="00394F97" w:rsidRDefault="00394F97" w:rsidP="005A7CD4">
            <w:pPr>
              <w:tabs>
                <w:tab w:val="left" w:pos="960"/>
              </w:tabs>
              <w:ind w:firstLine="0"/>
              <w:rPr>
                <w:rFonts w:asciiTheme="majorHAnsi" w:hAnsiTheme="majorHAnsi" w:cstheme="majorHAnsi"/>
                <w:sz w:val="28"/>
                <w:szCs w:val="28"/>
                <w:lang w:val="en-US"/>
              </w:rPr>
            </w:pPr>
            <w:r w:rsidRPr="00394F97">
              <w:rPr>
                <w:rFonts w:asciiTheme="majorHAnsi" w:hAnsiTheme="majorHAnsi" w:cstheme="majorHAnsi"/>
                <w:sz w:val="28"/>
                <w:szCs w:val="28"/>
                <w:lang w:val="en-US"/>
              </w:rPr>
              <w:t>Đề xuất chủ trương xin phép tăng số trang tạp chí, tạo điều kiện cho cán bộ, giảng viên đặc biệt là giảng viên trẻ đăng tải các sản phẩm nghiên cứu khoa học.</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Trung tâm Tư vấn pháp luật</w:t>
            </w:r>
          </w:p>
        </w:tc>
        <w:tc>
          <w:tcPr>
            <w:tcW w:w="8647" w:type="dxa"/>
          </w:tcPr>
          <w:p w:rsidR="00394F97" w:rsidRPr="00394F97" w:rsidRDefault="00394F97" w:rsidP="005A7CD4">
            <w:pPr>
              <w:tabs>
                <w:tab w:val="left" w:pos="960"/>
              </w:tabs>
              <w:ind w:firstLine="0"/>
              <w:rPr>
                <w:rFonts w:asciiTheme="majorHAnsi" w:hAnsiTheme="majorHAnsi" w:cstheme="majorHAnsi"/>
                <w:sz w:val="28"/>
                <w:szCs w:val="28"/>
                <w:lang w:val="en-US"/>
              </w:rPr>
            </w:pPr>
            <w:r w:rsidRPr="00394F97">
              <w:rPr>
                <w:rFonts w:asciiTheme="majorHAnsi" w:hAnsiTheme="majorHAnsi" w:cstheme="majorHAnsi"/>
                <w:sz w:val="28"/>
                <w:szCs w:val="28"/>
                <w:lang w:val="en-US"/>
              </w:rPr>
              <w:t>Tổ chức các khóa đào tạo: “Bồi dưỡng kiến thức” dành cho những người có nhu cầu ôn tập phục vụ kỳ thi tuyển sinh đầu vào các hệ</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Từ tháng 5/2017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p>
        </w:tc>
        <w:tc>
          <w:tcPr>
            <w:tcW w:w="8647" w:type="dxa"/>
          </w:tcPr>
          <w:p w:rsidR="00394F97" w:rsidRPr="00394F97" w:rsidRDefault="00394F97" w:rsidP="005A7CD4">
            <w:pPr>
              <w:tabs>
                <w:tab w:val="left" w:pos="960"/>
              </w:tabs>
              <w:ind w:firstLine="0"/>
              <w:rPr>
                <w:rFonts w:asciiTheme="majorHAnsi" w:hAnsiTheme="majorHAnsi" w:cstheme="majorHAnsi"/>
                <w:sz w:val="28"/>
                <w:szCs w:val="28"/>
                <w:lang w:val="en-US"/>
              </w:rPr>
            </w:pPr>
            <w:r w:rsidRPr="00394F97">
              <w:rPr>
                <w:rFonts w:asciiTheme="majorHAnsi" w:hAnsiTheme="majorHAnsi" w:cstheme="majorHAnsi"/>
                <w:sz w:val="28"/>
                <w:szCs w:val="28"/>
                <w:lang w:val="en-US"/>
              </w:rPr>
              <w:t>Sửa đổi Quy chế Thu chi tài chính đối với hoạt động đào tạo ngắn hạn của Trung tâm</w:t>
            </w:r>
          </w:p>
        </w:tc>
        <w:tc>
          <w:tcPr>
            <w:tcW w:w="2203" w:type="dxa"/>
          </w:tcPr>
          <w:p w:rsidR="00394F97" w:rsidRDefault="00394F97"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4/2017</w:t>
            </w:r>
          </w:p>
        </w:tc>
      </w:tr>
      <w:tr w:rsidR="00394F97" w:rsidTr="00B35AEB">
        <w:trPr>
          <w:trHeight w:val="148"/>
        </w:trPr>
        <w:tc>
          <w:tcPr>
            <w:tcW w:w="872" w:type="dxa"/>
          </w:tcPr>
          <w:p w:rsidR="00394F97" w:rsidRDefault="00394F97">
            <w:pPr>
              <w:ind w:firstLine="0"/>
              <w:rPr>
                <w:rFonts w:asciiTheme="majorHAnsi" w:hAnsiTheme="majorHAnsi" w:cstheme="majorHAnsi"/>
                <w:sz w:val="28"/>
                <w:szCs w:val="28"/>
                <w:lang w:val="en-US"/>
              </w:rPr>
            </w:pPr>
          </w:p>
        </w:tc>
        <w:tc>
          <w:tcPr>
            <w:tcW w:w="2780" w:type="dxa"/>
          </w:tcPr>
          <w:p w:rsidR="00394F97" w:rsidRDefault="00394F97" w:rsidP="00394F97">
            <w:pPr>
              <w:tabs>
                <w:tab w:val="left" w:pos="1100"/>
              </w:tabs>
              <w:ind w:firstLine="0"/>
              <w:rPr>
                <w:rFonts w:asciiTheme="majorHAnsi" w:hAnsiTheme="majorHAnsi" w:cstheme="majorHAnsi"/>
                <w:sz w:val="28"/>
                <w:szCs w:val="28"/>
                <w:lang w:val="en-US"/>
              </w:rPr>
            </w:pPr>
          </w:p>
        </w:tc>
        <w:tc>
          <w:tcPr>
            <w:tcW w:w="8647" w:type="dxa"/>
          </w:tcPr>
          <w:p w:rsidR="00394F97" w:rsidRPr="00394F97" w:rsidRDefault="007E74F6"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Rà soát, bổ sung cộng tác viên tư vấn pháp luật</w:t>
            </w:r>
          </w:p>
        </w:tc>
        <w:tc>
          <w:tcPr>
            <w:tcW w:w="2203" w:type="dxa"/>
          </w:tcPr>
          <w:p w:rsidR="00394F97" w:rsidRDefault="007E74F6"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4/2017</w:t>
            </w:r>
          </w:p>
        </w:tc>
      </w:tr>
      <w:tr w:rsidR="007E74F6" w:rsidTr="00B35AEB">
        <w:trPr>
          <w:trHeight w:val="148"/>
        </w:trPr>
        <w:tc>
          <w:tcPr>
            <w:tcW w:w="872" w:type="dxa"/>
          </w:tcPr>
          <w:p w:rsidR="007E74F6" w:rsidRDefault="007E74F6">
            <w:pPr>
              <w:ind w:firstLine="0"/>
              <w:rPr>
                <w:rFonts w:asciiTheme="majorHAnsi" w:hAnsiTheme="majorHAnsi" w:cstheme="majorHAnsi"/>
                <w:sz w:val="28"/>
                <w:szCs w:val="28"/>
                <w:lang w:val="en-US"/>
              </w:rPr>
            </w:pPr>
          </w:p>
        </w:tc>
        <w:tc>
          <w:tcPr>
            <w:tcW w:w="2780" w:type="dxa"/>
          </w:tcPr>
          <w:p w:rsidR="007E74F6" w:rsidRDefault="007E74F6" w:rsidP="00394F97">
            <w:pPr>
              <w:tabs>
                <w:tab w:val="left" w:pos="1100"/>
              </w:tabs>
              <w:ind w:firstLine="0"/>
              <w:rPr>
                <w:rFonts w:asciiTheme="majorHAnsi" w:hAnsiTheme="majorHAnsi" w:cstheme="majorHAnsi"/>
                <w:sz w:val="28"/>
                <w:szCs w:val="28"/>
                <w:lang w:val="en-US"/>
              </w:rPr>
            </w:pPr>
          </w:p>
        </w:tc>
        <w:tc>
          <w:tcPr>
            <w:tcW w:w="8647" w:type="dxa"/>
          </w:tcPr>
          <w:p w:rsidR="007E74F6" w:rsidRDefault="007E74F6" w:rsidP="005A7CD4">
            <w:pPr>
              <w:tabs>
                <w:tab w:val="left" w:pos="960"/>
              </w:tabs>
              <w:ind w:firstLine="0"/>
              <w:rPr>
                <w:rFonts w:asciiTheme="majorHAnsi" w:hAnsiTheme="majorHAnsi" w:cstheme="majorHAnsi"/>
                <w:sz w:val="28"/>
                <w:szCs w:val="28"/>
                <w:lang w:val="en-US"/>
              </w:rPr>
            </w:pPr>
            <w:r w:rsidRPr="007E74F6">
              <w:rPr>
                <w:rFonts w:asciiTheme="majorHAnsi" w:hAnsiTheme="majorHAnsi" w:cstheme="majorHAnsi"/>
                <w:sz w:val="28"/>
                <w:szCs w:val="28"/>
                <w:lang w:val="en-US"/>
              </w:rPr>
              <w:t>Tổ chức cho 30 sinh viên của Nhà trường (không bao gồm sinh viên chất lượng cao) thực hành tại Trung tâm trong thời gian hai tháng</w:t>
            </w:r>
          </w:p>
        </w:tc>
        <w:tc>
          <w:tcPr>
            <w:tcW w:w="2203" w:type="dxa"/>
          </w:tcPr>
          <w:p w:rsidR="007E74F6" w:rsidRDefault="007E74F6"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3 – 5/2017</w:t>
            </w:r>
          </w:p>
        </w:tc>
      </w:tr>
      <w:tr w:rsidR="007E74F6" w:rsidTr="00B35AEB">
        <w:trPr>
          <w:trHeight w:val="148"/>
        </w:trPr>
        <w:tc>
          <w:tcPr>
            <w:tcW w:w="872" w:type="dxa"/>
          </w:tcPr>
          <w:p w:rsidR="007E74F6" w:rsidRDefault="007E74F6">
            <w:pPr>
              <w:ind w:firstLine="0"/>
              <w:rPr>
                <w:rFonts w:asciiTheme="majorHAnsi" w:hAnsiTheme="majorHAnsi" w:cstheme="majorHAnsi"/>
                <w:sz w:val="28"/>
                <w:szCs w:val="28"/>
                <w:lang w:val="en-US"/>
              </w:rPr>
            </w:pPr>
          </w:p>
        </w:tc>
        <w:tc>
          <w:tcPr>
            <w:tcW w:w="2780" w:type="dxa"/>
          </w:tcPr>
          <w:p w:rsidR="007E74F6" w:rsidRDefault="007E74F6" w:rsidP="00394F97">
            <w:pPr>
              <w:tabs>
                <w:tab w:val="left" w:pos="1100"/>
              </w:tabs>
              <w:ind w:firstLine="0"/>
              <w:rPr>
                <w:rFonts w:asciiTheme="majorHAnsi" w:hAnsiTheme="majorHAnsi" w:cstheme="majorHAnsi"/>
                <w:sz w:val="28"/>
                <w:szCs w:val="28"/>
                <w:lang w:val="en-US"/>
              </w:rPr>
            </w:pPr>
          </w:p>
        </w:tc>
        <w:tc>
          <w:tcPr>
            <w:tcW w:w="8647" w:type="dxa"/>
          </w:tcPr>
          <w:p w:rsidR="007E74F6" w:rsidRPr="007E74F6" w:rsidRDefault="007E74F6" w:rsidP="005A7CD4">
            <w:pPr>
              <w:tabs>
                <w:tab w:val="left" w:pos="960"/>
              </w:tabs>
              <w:ind w:firstLine="0"/>
              <w:rPr>
                <w:rFonts w:asciiTheme="majorHAnsi" w:hAnsiTheme="majorHAnsi" w:cstheme="majorHAnsi"/>
                <w:sz w:val="28"/>
                <w:szCs w:val="28"/>
                <w:lang w:val="en-US"/>
              </w:rPr>
            </w:pPr>
            <w:r w:rsidRPr="007E74F6">
              <w:rPr>
                <w:rFonts w:asciiTheme="majorHAnsi" w:hAnsiTheme="majorHAnsi" w:cstheme="majorHAnsi"/>
                <w:sz w:val="28"/>
                <w:szCs w:val="28"/>
                <w:lang w:val="en-US"/>
              </w:rPr>
              <w:t>Hoàn thiện Lộ trình tự chủ tài chính để trình phê duyệt</w:t>
            </w:r>
          </w:p>
        </w:tc>
        <w:tc>
          <w:tcPr>
            <w:tcW w:w="2203" w:type="dxa"/>
          </w:tcPr>
          <w:p w:rsidR="007E74F6" w:rsidRDefault="007E74F6"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4/2017</w:t>
            </w:r>
          </w:p>
        </w:tc>
      </w:tr>
      <w:tr w:rsidR="007E74F6" w:rsidTr="00B35AEB">
        <w:trPr>
          <w:trHeight w:val="148"/>
        </w:trPr>
        <w:tc>
          <w:tcPr>
            <w:tcW w:w="872" w:type="dxa"/>
          </w:tcPr>
          <w:p w:rsidR="007E74F6" w:rsidRDefault="007E74F6">
            <w:pPr>
              <w:ind w:firstLine="0"/>
              <w:rPr>
                <w:rFonts w:asciiTheme="majorHAnsi" w:hAnsiTheme="majorHAnsi" w:cstheme="majorHAnsi"/>
                <w:sz w:val="28"/>
                <w:szCs w:val="28"/>
                <w:lang w:val="en-US"/>
              </w:rPr>
            </w:pPr>
          </w:p>
        </w:tc>
        <w:tc>
          <w:tcPr>
            <w:tcW w:w="2780" w:type="dxa"/>
          </w:tcPr>
          <w:p w:rsidR="007E74F6" w:rsidRDefault="007E74F6" w:rsidP="00394F97">
            <w:pPr>
              <w:tabs>
                <w:tab w:val="left" w:pos="1100"/>
              </w:tabs>
              <w:ind w:firstLine="0"/>
              <w:rPr>
                <w:rFonts w:asciiTheme="majorHAnsi" w:hAnsiTheme="majorHAnsi" w:cstheme="majorHAnsi"/>
                <w:sz w:val="28"/>
                <w:szCs w:val="28"/>
                <w:lang w:val="en-US"/>
              </w:rPr>
            </w:pPr>
          </w:p>
        </w:tc>
        <w:tc>
          <w:tcPr>
            <w:tcW w:w="8647" w:type="dxa"/>
          </w:tcPr>
          <w:p w:rsidR="007E74F6" w:rsidRPr="007E74F6" w:rsidRDefault="007E74F6"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Ban hành Quy chế chi tiêu nội bộ của Trung tâm</w:t>
            </w:r>
          </w:p>
        </w:tc>
        <w:tc>
          <w:tcPr>
            <w:tcW w:w="2203" w:type="dxa"/>
          </w:tcPr>
          <w:p w:rsidR="007E74F6" w:rsidRDefault="007E74F6"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6/2017</w:t>
            </w:r>
          </w:p>
        </w:tc>
      </w:tr>
      <w:tr w:rsidR="007E74F6" w:rsidTr="00B35AEB">
        <w:trPr>
          <w:trHeight w:val="148"/>
        </w:trPr>
        <w:tc>
          <w:tcPr>
            <w:tcW w:w="872" w:type="dxa"/>
          </w:tcPr>
          <w:p w:rsidR="007E74F6" w:rsidRDefault="007E74F6">
            <w:pPr>
              <w:ind w:firstLine="0"/>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2780" w:type="dxa"/>
          </w:tcPr>
          <w:p w:rsidR="007E74F6" w:rsidRDefault="007E74F6"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Phòng Công tác sinh viên</w:t>
            </w:r>
          </w:p>
        </w:tc>
        <w:tc>
          <w:tcPr>
            <w:tcW w:w="8647" w:type="dxa"/>
          </w:tcPr>
          <w:p w:rsidR="007E74F6" w:rsidRDefault="00B35AEB" w:rsidP="005A7CD4">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Thực hiện những nhiệm vụ công tác thường xuyên theo chức năng, nhiệm vụ</w:t>
            </w:r>
          </w:p>
        </w:tc>
        <w:tc>
          <w:tcPr>
            <w:tcW w:w="2203" w:type="dxa"/>
          </w:tcPr>
          <w:p w:rsidR="007E74F6"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Thường xuyên</w:t>
            </w:r>
          </w:p>
        </w:tc>
      </w:tr>
      <w:tr w:rsidR="00B35AEB" w:rsidTr="00B35AEB">
        <w:trPr>
          <w:trHeight w:val="148"/>
        </w:trPr>
        <w:tc>
          <w:tcPr>
            <w:tcW w:w="872" w:type="dxa"/>
          </w:tcPr>
          <w:p w:rsidR="00B35AEB" w:rsidRDefault="00B35AEB">
            <w:pPr>
              <w:ind w:firstLine="0"/>
              <w:rPr>
                <w:rFonts w:asciiTheme="majorHAnsi" w:hAnsiTheme="majorHAnsi" w:cstheme="majorHAnsi"/>
                <w:sz w:val="28"/>
                <w:szCs w:val="28"/>
                <w:lang w:val="en-US"/>
              </w:rPr>
            </w:pPr>
            <w:r>
              <w:rPr>
                <w:rFonts w:asciiTheme="majorHAnsi" w:hAnsiTheme="majorHAnsi" w:cstheme="majorHAnsi"/>
                <w:sz w:val="28"/>
                <w:szCs w:val="28"/>
                <w:lang w:val="en-US"/>
              </w:rPr>
              <w:t>7</w:t>
            </w: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Phòng Quản trị</w:t>
            </w:r>
          </w:p>
        </w:tc>
        <w:tc>
          <w:tcPr>
            <w:tcW w:w="8647" w:type="dxa"/>
          </w:tcPr>
          <w:p w:rsidR="00B35AEB" w:rsidRDefault="00B35AEB" w:rsidP="005A7CD4">
            <w:pPr>
              <w:tabs>
                <w:tab w:val="left" w:pos="96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Lập dự án và do vẽ hiện trạng Dự án cải tạo chỉnh trang khuôn viên Trường Đại học Luật Hà Nội tại 87 Nguyễn Chí Thanh</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1 – 4/2017</w:t>
            </w:r>
          </w:p>
        </w:tc>
      </w:tr>
      <w:tr w:rsidR="00B35AEB" w:rsidTr="00B35AEB">
        <w:trPr>
          <w:trHeight w:val="148"/>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Pr="00B35AEB" w:rsidRDefault="00B35AEB" w:rsidP="005A7CD4">
            <w:pPr>
              <w:tabs>
                <w:tab w:val="left" w:pos="96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Tư vấn khảo sát địa chất để phục vụ gia cố lắp đặt thêm thang máy sinh viên nhà A</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1 – 7/2017</w:t>
            </w:r>
          </w:p>
        </w:tc>
      </w:tr>
      <w:tr w:rsidR="00B35AEB" w:rsidTr="00B35AEB">
        <w:trPr>
          <w:trHeight w:val="990"/>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Pr="00B35AEB" w:rsidRDefault="00B35AEB" w:rsidP="005A7CD4">
            <w:pPr>
              <w:tabs>
                <w:tab w:val="left" w:pos="96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Thiết kế bản vẽ thi công, dự toán xây dựng cải tạo sửa chữa nhà B</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4 – 9/2017</w:t>
            </w:r>
          </w:p>
        </w:tc>
      </w:tr>
      <w:tr w:rsidR="00B35AEB" w:rsidTr="00B35AEB">
        <w:trPr>
          <w:trHeight w:val="660"/>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Pr="00B35AEB" w:rsidRDefault="00B35AEB"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ab/>
            </w:r>
            <w:r w:rsidRPr="00B35AEB">
              <w:rPr>
                <w:rFonts w:asciiTheme="majorHAnsi" w:hAnsiTheme="majorHAnsi" w:cstheme="majorHAnsi"/>
                <w:sz w:val="28"/>
                <w:szCs w:val="28"/>
                <w:lang w:val="en-US"/>
              </w:rPr>
              <w:t>Thi công cải tạo, sửa chữa Ký túc xá</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5 – 10/2017</w:t>
            </w:r>
          </w:p>
        </w:tc>
      </w:tr>
      <w:tr w:rsidR="00B35AEB" w:rsidTr="00B35AEB">
        <w:trPr>
          <w:trHeight w:val="639"/>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Default="00B35AEB" w:rsidP="005A7CD4">
            <w:pPr>
              <w:tabs>
                <w:tab w:val="left" w:pos="110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Tổ chức mua sắm và cấp phát tài sản năm 201</w:t>
            </w:r>
            <w:r>
              <w:rPr>
                <w:rFonts w:asciiTheme="majorHAnsi" w:hAnsiTheme="majorHAnsi" w:cstheme="majorHAnsi"/>
                <w:sz w:val="28"/>
                <w:szCs w:val="28"/>
                <w:lang w:val="en-US"/>
              </w:rPr>
              <w:t>7</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3 – 8/2017</w:t>
            </w:r>
          </w:p>
        </w:tc>
      </w:tr>
      <w:tr w:rsidR="00B35AEB" w:rsidTr="00B35AEB">
        <w:trPr>
          <w:trHeight w:val="1041"/>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Pr="00B35AEB" w:rsidRDefault="00B35AEB" w:rsidP="005A7CD4">
            <w:pPr>
              <w:tabs>
                <w:tab w:val="left" w:pos="110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Tổ chức bảo dưỡng hệ thống máy chiếu tại các hội trường, phòng học; Bảo dưỡng hệ thống điều hòa không khí trong toàn trường; bảo dưỡng hệ thống PCCC nhà A</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3 – 7/2017</w:t>
            </w:r>
          </w:p>
        </w:tc>
      </w:tr>
      <w:tr w:rsidR="00B35AEB" w:rsidTr="00B35AEB">
        <w:trPr>
          <w:trHeight w:val="330"/>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Pr="00B35AEB" w:rsidRDefault="00B35AEB" w:rsidP="005A7CD4">
            <w:pPr>
              <w:tabs>
                <w:tab w:val="left" w:pos="1100"/>
              </w:tabs>
              <w:ind w:firstLine="0"/>
              <w:rPr>
                <w:rFonts w:asciiTheme="majorHAnsi" w:hAnsiTheme="majorHAnsi" w:cstheme="majorHAnsi"/>
                <w:sz w:val="28"/>
                <w:szCs w:val="28"/>
                <w:lang w:val="en-US"/>
              </w:rPr>
            </w:pPr>
            <w:r w:rsidRPr="00B35AEB">
              <w:rPr>
                <w:rFonts w:asciiTheme="majorHAnsi" w:hAnsiTheme="majorHAnsi" w:cstheme="majorHAnsi"/>
                <w:sz w:val="28"/>
                <w:szCs w:val="28"/>
                <w:lang w:val="en-US"/>
              </w:rPr>
              <w:t>Cải tạo tầng 3 nhà K6</w:t>
            </w:r>
          </w:p>
        </w:tc>
        <w:tc>
          <w:tcPr>
            <w:tcW w:w="2203" w:type="dxa"/>
          </w:tcPr>
          <w:p w:rsidR="00B35AEB" w:rsidRDefault="00B35AEB"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4 – 6/2017</w:t>
            </w:r>
          </w:p>
        </w:tc>
      </w:tr>
      <w:tr w:rsidR="00B35AEB" w:rsidTr="00B35AEB">
        <w:trPr>
          <w:trHeight w:val="660"/>
        </w:trPr>
        <w:tc>
          <w:tcPr>
            <w:tcW w:w="872" w:type="dxa"/>
          </w:tcPr>
          <w:p w:rsidR="00B35AEB" w:rsidRDefault="00B35AEB">
            <w:pPr>
              <w:ind w:firstLine="0"/>
              <w:rPr>
                <w:rFonts w:asciiTheme="majorHAnsi" w:hAnsiTheme="majorHAnsi" w:cstheme="majorHAnsi"/>
                <w:sz w:val="28"/>
                <w:szCs w:val="28"/>
                <w:lang w:val="en-US"/>
              </w:rPr>
            </w:pPr>
            <w:r>
              <w:rPr>
                <w:rFonts w:asciiTheme="majorHAnsi" w:hAnsiTheme="majorHAnsi" w:cstheme="majorHAnsi"/>
                <w:sz w:val="28"/>
                <w:szCs w:val="28"/>
                <w:lang w:val="en-US"/>
              </w:rPr>
              <w:t>8</w:t>
            </w: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Trung tâm Đảm bảo chất lượng đào tạo</w:t>
            </w:r>
          </w:p>
        </w:tc>
        <w:tc>
          <w:tcPr>
            <w:tcW w:w="8647" w:type="dxa"/>
          </w:tcPr>
          <w:p w:rsidR="00B35AEB" w:rsidRPr="00B35AEB" w:rsidRDefault="00B35AEB"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Triển khai đăng ký và thực hiện đánh giá ngoài</w:t>
            </w:r>
          </w:p>
        </w:tc>
        <w:tc>
          <w:tcPr>
            <w:tcW w:w="2203" w:type="dxa"/>
          </w:tcPr>
          <w:p w:rsidR="00B35AEB" w:rsidRDefault="00351BFC"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Quý II</w:t>
            </w:r>
            <w:r w:rsidR="00B35AEB">
              <w:rPr>
                <w:rFonts w:asciiTheme="majorHAnsi" w:hAnsiTheme="majorHAnsi" w:cstheme="majorHAnsi"/>
                <w:sz w:val="28"/>
                <w:szCs w:val="28"/>
                <w:lang w:val="en-US"/>
              </w:rPr>
              <w:t>/2017</w:t>
            </w:r>
          </w:p>
        </w:tc>
      </w:tr>
      <w:tr w:rsidR="00B35AEB" w:rsidTr="00B35AEB">
        <w:trPr>
          <w:trHeight w:val="660"/>
        </w:trPr>
        <w:tc>
          <w:tcPr>
            <w:tcW w:w="872" w:type="dxa"/>
          </w:tcPr>
          <w:p w:rsidR="00B35AEB" w:rsidRDefault="00B35AEB">
            <w:pPr>
              <w:ind w:firstLine="0"/>
              <w:rPr>
                <w:rFonts w:asciiTheme="majorHAnsi" w:hAnsiTheme="majorHAnsi" w:cstheme="majorHAnsi"/>
                <w:sz w:val="28"/>
                <w:szCs w:val="28"/>
                <w:lang w:val="en-US"/>
              </w:rPr>
            </w:pPr>
          </w:p>
        </w:tc>
        <w:tc>
          <w:tcPr>
            <w:tcW w:w="2780" w:type="dxa"/>
          </w:tcPr>
          <w:p w:rsidR="00B35AEB" w:rsidRDefault="00B35AEB" w:rsidP="00394F97">
            <w:pPr>
              <w:tabs>
                <w:tab w:val="left" w:pos="1100"/>
              </w:tabs>
              <w:ind w:firstLine="0"/>
              <w:rPr>
                <w:rFonts w:asciiTheme="majorHAnsi" w:hAnsiTheme="majorHAnsi" w:cstheme="majorHAnsi"/>
                <w:sz w:val="28"/>
                <w:szCs w:val="28"/>
                <w:lang w:val="en-US"/>
              </w:rPr>
            </w:pPr>
          </w:p>
        </w:tc>
        <w:tc>
          <w:tcPr>
            <w:tcW w:w="8647" w:type="dxa"/>
          </w:tcPr>
          <w:p w:rsidR="00B35AEB" w:rsidRDefault="00B35AEB"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Tổ chức 2 khóa tập huấn</w:t>
            </w:r>
            <w:r w:rsidR="00351BFC">
              <w:rPr>
                <w:rFonts w:asciiTheme="majorHAnsi" w:hAnsiTheme="majorHAnsi" w:cstheme="majorHAnsi"/>
                <w:sz w:val="28"/>
                <w:szCs w:val="28"/>
                <w:lang w:val="en-US"/>
              </w:rPr>
              <w:t xml:space="preserve"> nâng cao năng lực giảng dạy cho giảng viên</w:t>
            </w:r>
          </w:p>
        </w:tc>
        <w:tc>
          <w:tcPr>
            <w:tcW w:w="2203" w:type="dxa"/>
          </w:tcPr>
          <w:p w:rsidR="00B35AEB" w:rsidRDefault="00351BFC"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Quý I, II/2017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p>
        </w:tc>
        <w:tc>
          <w:tcPr>
            <w:tcW w:w="8647" w:type="dxa"/>
          </w:tcPr>
          <w:p w:rsidR="00351BFC" w:rsidRDefault="00351BFC" w:rsidP="005A7CD4">
            <w:pPr>
              <w:tabs>
                <w:tab w:val="left" w:pos="1100"/>
              </w:tabs>
              <w:ind w:firstLine="0"/>
              <w:rPr>
                <w:rFonts w:asciiTheme="majorHAnsi" w:hAnsiTheme="majorHAnsi" w:cstheme="majorHAnsi"/>
                <w:sz w:val="28"/>
                <w:szCs w:val="28"/>
                <w:lang w:val="en-US"/>
              </w:rPr>
            </w:pPr>
            <w:r w:rsidRPr="00351BFC">
              <w:rPr>
                <w:rFonts w:asciiTheme="majorHAnsi" w:hAnsiTheme="majorHAnsi" w:cstheme="majorHAnsi"/>
                <w:sz w:val="28"/>
                <w:szCs w:val="28"/>
                <w:lang w:val="en-US"/>
              </w:rPr>
              <w:t>Xây dựng ngân hàng đề thi tuyển sinh, đề thi tốt nghiệp đại học luật dành cho văn bằng thứ nhất, văn bằng thứ hai hệ chính quy và vừa làm vừa học</w:t>
            </w:r>
          </w:p>
        </w:tc>
        <w:tc>
          <w:tcPr>
            <w:tcW w:w="2203" w:type="dxa"/>
          </w:tcPr>
          <w:p w:rsidR="00351BFC" w:rsidRDefault="00351BFC"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 xml:space="preserve">Tháng 4, 5, 6/2017 </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Phòng Tài chính – Kế toán</w:t>
            </w:r>
          </w:p>
        </w:tc>
        <w:tc>
          <w:tcPr>
            <w:tcW w:w="8647" w:type="dxa"/>
          </w:tcPr>
          <w:p w:rsidR="00351BFC" w:rsidRPr="00351BFC" w:rsidRDefault="00351BFC" w:rsidP="005A7CD4">
            <w:pPr>
              <w:tabs>
                <w:tab w:val="left" w:pos="1100"/>
              </w:tabs>
              <w:ind w:firstLine="0"/>
              <w:rPr>
                <w:rFonts w:asciiTheme="majorHAnsi" w:hAnsiTheme="majorHAnsi" w:cstheme="majorHAnsi"/>
                <w:sz w:val="28"/>
                <w:szCs w:val="28"/>
                <w:lang w:val="en-US"/>
              </w:rPr>
            </w:pPr>
            <w:r w:rsidRPr="00351BFC">
              <w:rPr>
                <w:rFonts w:asciiTheme="majorHAnsi" w:hAnsiTheme="majorHAnsi" w:cstheme="majorHAnsi"/>
                <w:sz w:val="28"/>
                <w:szCs w:val="28"/>
                <w:lang w:val="en-US"/>
              </w:rPr>
              <w:t>Quyết toán thuế TNCN, thuế TNDN năm 2016, thu thuế TNCN năm 2016</w:t>
            </w:r>
          </w:p>
        </w:tc>
        <w:tc>
          <w:tcPr>
            <w:tcW w:w="2203" w:type="dxa"/>
          </w:tcPr>
          <w:p w:rsidR="00351BFC" w:rsidRDefault="00351BFC" w:rsidP="006073D3">
            <w:pPr>
              <w:tabs>
                <w:tab w:val="left" w:pos="960"/>
              </w:tabs>
              <w:ind w:firstLine="0"/>
              <w:rPr>
                <w:rFonts w:asciiTheme="majorHAnsi" w:hAnsiTheme="majorHAnsi" w:cstheme="majorHAnsi"/>
                <w:sz w:val="28"/>
                <w:szCs w:val="28"/>
                <w:lang w:val="en-US"/>
              </w:rPr>
            </w:pPr>
            <w:r>
              <w:rPr>
                <w:rFonts w:asciiTheme="majorHAnsi" w:hAnsiTheme="majorHAnsi" w:cstheme="majorHAnsi"/>
                <w:sz w:val="28"/>
                <w:szCs w:val="28"/>
                <w:lang w:val="en-US"/>
              </w:rPr>
              <w:t>Tháng 3, 5/2017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p>
        </w:tc>
        <w:tc>
          <w:tcPr>
            <w:tcW w:w="8647" w:type="dxa"/>
          </w:tcPr>
          <w:p w:rsidR="00351BFC" w:rsidRPr="00351BFC" w:rsidRDefault="00351BFC" w:rsidP="005A7CD4">
            <w:pPr>
              <w:tabs>
                <w:tab w:val="left" w:pos="1100"/>
              </w:tabs>
              <w:ind w:firstLine="0"/>
              <w:rPr>
                <w:rFonts w:asciiTheme="majorHAnsi" w:hAnsiTheme="majorHAnsi" w:cstheme="majorHAnsi"/>
                <w:sz w:val="28"/>
                <w:szCs w:val="28"/>
                <w:lang w:val="en-US"/>
              </w:rPr>
            </w:pPr>
            <w:r w:rsidRPr="00351BFC">
              <w:rPr>
                <w:rFonts w:asciiTheme="majorHAnsi" w:hAnsiTheme="majorHAnsi" w:cstheme="majorHAnsi"/>
                <w:sz w:val="28"/>
                <w:szCs w:val="28"/>
                <w:lang w:val="en-US"/>
              </w:rPr>
              <w:t>Hoàn thành Báo cáo tài chính năm 2016</w:t>
            </w:r>
          </w:p>
        </w:tc>
        <w:tc>
          <w:tcPr>
            <w:tcW w:w="2203" w:type="dxa"/>
          </w:tcPr>
          <w:p w:rsidR="00351BFC" w:rsidRDefault="00351BFC"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3, 4/2017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p>
        </w:tc>
        <w:tc>
          <w:tcPr>
            <w:tcW w:w="8647" w:type="dxa"/>
          </w:tcPr>
          <w:p w:rsidR="00351BFC" w:rsidRPr="00351BFC" w:rsidRDefault="00351BFC"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Thu học phí học kỳ II năm học 2016 – 2017 đối với sinh viên CQ, VLVH, VB2 tại Trường</w:t>
            </w:r>
          </w:p>
        </w:tc>
        <w:tc>
          <w:tcPr>
            <w:tcW w:w="2203" w:type="dxa"/>
          </w:tcPr>
          <w:p w:rsidR="00351BFC" w:rsidRDefault="00351BFC"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3, 4/2017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p>
        </w:tc>
        <w:tc>
          <w:tcPr>
            <w:tcW w:w="8647" w:type="dxa"/>
          </w:tcPr>
          <w:p w:rsidR="00351BFC" w:rsidRDefault="00351BFC" w:rsidP="005A7CD4">
            <w:pPr>
              <w:tabs>
                <w:tab w:val="left" w:pos="1100"/>
              </w:tabs>
              <w:ind w:firstLine="0"/>
              <w:rPr>
                <w:rFonts w:asciiTheme="majorHAnsi" w:hAnsiTheme="majorHAnsi" w:cstheme="majorHAnsi"/>
                <w:sz w:val="28"/>
                <w:szCs w:val="28"/>
                <w:lang w:val="en-US"/>
              </w:rPr>
            </w:pPr>
            <w:r w:rsidRPr="00351BFC">
              <w:rPr>
                <w:rFonts w:asciiTheme="majorHAnsi" w:hAnsiTheme="majorHAnsi" w:cstheme="majorHAnsi"/>
                <w:sz w:val="28"/>
                <w:szCs w:val="28"/>
                <w:lang w:val="en-US"/>
              </w:rPr>
              <w:t>Quyết toán học phí  đối với các lớp liên kết đào tạo hệ  VLVH</w:t>
            </w:r>
          </w:p>
        </w:tc>
        <w:tc>
          <w:tcPr>
            <w:tcW w:w="2203" w:type="dxa"/>
          </w:tcPr>
          <w:p w:rsidR="00351BFC" w:rsidRDefault="00351BFC"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4, 10/2017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p>
        </w:tc>
        <w:tc>
          <w:tcPr>
            <w:tcW w:w="8647" w:type="dxa"/>
          </w:tcPr>
          <w:p w:rsidR="00351BFC" w:rsidRPr="00351BFC" w:rsidRDefault="00351BFC" w:rsidP="005A7CD4">
            <w:pPr>
              <w:tabs>
                <w:tab w:val="left" w:pos="1100"/>
              </w:tabs>
              <w:ind w:firstLine="0"/>
              <w:rPr>
                <w:rFonts w:asciiTheme="majorHAnsi" w:hAnsiTheme="majorHAnsi" w:cstheme="majorHAnsi"/>
                <w:sz w:val="28"/>
                <w:szCs w:val="28"/>
                <w:lang w:val="en-US"/>
              </w:rPr>
            </w:pPr>
            <w:r w:rsidRPr="00351BFC">
              <w:rPr>
                <w:rFonts w:asciiTheme="majorHAnsi" w:hAnsiTheme="majorHAnsi" w:cstheme="majorHAnsi"/>
                <w:sz w:val="28"/>
                <w:szCs w:val="28"/>
                <w:lang w:val="en-US"/>
              </w:rPr>
              <w:t>Thu lệ phí thi, lệ phí ôn tập tuyển sinh VB2 CQ</w:t>
            </w:r>
          </w:p>
        </w:tc>
        <w:tc>
          <w:tcPr>
            <w:tcW w:w="2203" w:type="dxa"/>
          </w:tcPr>
          <w:p w:rsidR="00351BFC" w:rsidRDefault="00351BFC"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5, 10/2017</w:t>
            </w:r>
          </w:p>
        </w:tc>
      </w:tr>
      <w:tr w:rsidR="00351BFC" w:rsidTr="00B35AEB">
        <w:trPr>
          <w:trHeight w:val="660"/>
        </w:trPr>
        <w:tc>
          <w:tcPr>
            <w:tcW w:w="872" w:type="dxa"/>
          </w:tcPr>
          <w:p w:rsidR="00351BFC" w:rsidRDefault="00351BFC">
            <w:pPr>
              <w:ind w:firstLine="0"/>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2780" w:type="dxa"/>
          </w:tcPr>
          <w:p w:rsidR="00351BFC" w:rsidRDefault="00351BFC"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Khoa Lý luận Chính trị</w:t>
            </w:r>
          </w:p>
        </w:tc>
        <w:tc>
          <w:tcPr>
            <w:tcW w:w="8647" w:type="dxa"/>
          </w:tcPr>
          <w:p w:rsidR="00351BFC" w:rsidRPr="00351BFC"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Nghiệm thu thành công 01 cuốn giáo trình: “Xã hội học pháp luật”</w:t>
            </w:r>
          </w:p>
        </w:tc>
        <w:tc>
          <w:tcPr>
            <w:tcW w:w="2203" w:type="dxa"/>
          </w:tcPr>
          <w:p w:rsidR="00351BFC"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6/2017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Thực hiện những nhiệm vụ công tác phù hợp nhiệm vụ, chức năng</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Thường xuyên</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r>
              <w:rPr>
                <w:rFonts w:asciiTheme="majorHAnsi" w:hAnsiTheme="majorHAnsi" w:cstheme="majorHAnsi"/>
                <w:sz w:val="28"/>
                <w:szCs w:val="28"/>
                <w:lang w:val="en-US"/>
              </w:rPr>
              <w:t>11</w:t>
            </w: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Trung tâm Công nghệ thông tin</w:t>
            </w:r>
          </w:p>
        </w:tc>
        <w:tc>
          <w:tcPr>
            <w:tcW w:w="8647" w:type="dxa"/>
          </w:tcPr>
          <w:p w:rsid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Tập huấn kỹ năng tin học cho cán bộ giảng viên</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Tháng 3/2017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Thực hiện những nhiệm vụ công tác phù hợp nhiệm vụ, chức năng</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Thường xuyên</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r>
              <w:rPr>
                <w:rFonts w:asciiTheme="majorHAnsi" w:hAnsiTheme="majorHAnsi" w:cstheme="majorHAnsi"/>
                <w:sz w:val="28"/>
                <w:szCs w:val="28"/>
                <w:lang w:val="en-US"/>
              </w:rPr>
              <w:t>12</w:t>
            </w: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Khoa pháp luật quốc tế</w:t>
            </w:r>
          </w:p>
        </w:tc>
        <w:tc>
          <w:tcPr>
            <w:tcW w:w="8647" w:type="dxa"/>
          </w:tcPr>
          <w:p w:rsid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Tổ chức Hội thảo khoa học cấp khoa: “Vùng nhận diện phòng không – Những vấn đề lý luận và thực tiễn”</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Tổ chức Hội thảo khoa học cấp trường: “ASEAN: 50 năm hình thành và phát triển”</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Tổ chức chương trình thường niên Cuộc thi “Tìm hiểu về ASEAN” dành cho sinh viên.</w:t>
            </w:r>
          </w:p>
        </w:tc>
        <w:tc>
          <w:tcPr>
            <w:tcW w:w="2203" w:type="dxa"/>
          </w:tcPr>
          <w:p w:rsidR="005A7CD4" w:rsidRDefault="005A7CD4" w:rsidP="00351BFC">
            <w:pPr>
              <w:tabs>
                <w:tab w:val="left" w:pos="960"/>
              </w:tabs>
              <w:ind w:left="960" w:hanging="960"/>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Toạ đàm Talk on International Law (chương trình thường niên 2 lần/năm)</w:t>
            </w:r>
          </w:p>
        </w:tc>
        <w:tc>
          <w:tcPr>
            <w:tcW w:w="2203" w:type="dxa"/>
          </w:tcPr>
          <w:p w:rsidR="005A7CD4" w:rsidRDefault="005A7CD4" w:rsidP="005A7CD4">
            <w:pPr>
              <w:spacing w:before="240" w:after="120" w:line="24" w:lineRule="atLeast"/>
              <w:rPr>
                <w:rFonts w:asciiTheme="majorHAnsi" w:hAnsiTheme="majorHAnsi" w:cstheme="majorHAnsi"/>
                <w:sz w:val="28"/>
                <w:szCs w:val="28"/>
                <w:lang w:val="en-US"/>
              </w:rPr>
            </w:pPr>
            <w:r>
              <w:rPr>
                <w:rFonts w:asciiTheme="majorHAnsi" w:hAnsiTheme="majorHAnsi" w:cstheme="majorHAnsi"/>
                <w:sz w:val="28"/>
                <w:szCs w:val="28"/>
                <w:lang w:val="en-US"/>
              </w:rPr>
              <w:t>Quý II, IV/2017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r>
              <w:rPr>
                <w:rFonts w:asciiTheme="majorHAnsi" w:hAnsiTheme="majorHAnsi" w:cstheme="majorHAnsi"/>
                <w:sz w:val="28"/>
                <w:szCs w:val="28"/>
                <w:lang w:val="en-US"/>
              </w:rPr>
              <w:t>13</w:t>
            </w: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r>
              <w:rPr>
                <w:rFonts w:asciiTheme="majorHAnsi" w:hAnsiTheme="majorHAnsi" w:cstheme="majorHAnsi"/>
                <w:sz w:val="28"/>
                <w:szCs w:val="28"/>
                <w:lang w:val="en-US"/>
              </w:rPr>
              <w:t>Khoa Pháp luật hành chính – nhà nước</w:t>
            </w: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Xây dựng đề cương chi tiết và học liệu</w:t>
            </w:r>
          </w:p>
        </w:tc>
        <w:tc>
          <w:tcPr>
            <w:tcW w:w="2203" w:type="dxa"/>
          </w:tcPr>
          <w:p w:rsidR="005A7CD4" w:rsidRPr="005A7CD4" w:rsidRDefault="005A7CD4" w:rsidP="005A7CD4">
            <w:pPr>
              <w:spacing w:before="240" w:after="120" w:line="24" w:lineRule="atLeast"/>
              <w:rPr>
                <w:lang w:val="en-US"/>
              </w:rPr>
            </w:pPr>
            <w:r>
              <w:rPr>
                <w:rFonts w:asciiTheme="majorHAnsi" w:hAnsiTheme="majorHAnsi" w:cstheme="majorHAnsi"/>
                <w:sz w:val="28"/>
                <w:szCs w:val="28"/>
                <w:lang w:val="en-US"/>
              </w:rPr>
              <w:t>Quý I,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Hội thảo cấp khoa: Án lệ - Một số vấn đề lý luận và thực tiễn ở Việt Nam hiện nay</w:t>
            </w:r>
            <w:r>
              <w:rPr>
                <w:rFonts w:asciiTheme="majorHAnsi" w:hAnsiTheme="majorHAnsi" w:cstheme="majorHAnsi"/>
                <w:sz w:val="28"/>
                <w:szCs w:val="28"/>
                <w:lang w:val="en-US"/>
              </w:rPr>
              <w:tab/>
            </w:r>
          </w:p>
        </w:tc>
        <w:tc>
          <w:tcPr>
            <w:tcW w:w="2203" w:type="dxa"/>
          </w:tcPr>
          <w:p w:rsidR="005A7CD4" w:rsidRDefault="005A7CD4" w:rsidP="005A7CD4">
            <w:pPr>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Hội thảo cấp khoa: Hoạch định chính sách trong hoạt động lập pháp</w:t>
            </w:r>
          </w:p>
        </w:tc>
        <w:tc>
          <w:tcPr>
            <w:tcW w:w="2203" w:type="dxa"/>
          </w:tcPr>
          <w:p w:rsidR="005A7CD4" w:rsidRDefault="005A7CD4" w:rsidP="005A7CD4">
            <w:pPr>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r w:rsidRPr="005A7CD4">
              <w:rPr>
                <w:rFonts w:asciiTheme="majorHAnsi" w:hAnsiTheme="majorHAnsi" w:cstheme="majorHAnsi"/>
                <w:sz w:val="28"/>
                <w:szCs w:val="28"/>
                <w:lang w:val="en-US"/>
              </w:rPr>
              <w:t>Hội thảo cấp khoa: Xử phạt vi phạm hành chính trong các lĩnh vực.</w:t>
            </w:r>
          </w:p>
        </w:tc>
        <w:tc>
          <w:tcPr>
            <w:tcW w:w="2203" w:type="dxa"/>
          </w:tcPr>
          <w:p w:rsidR="005A7CD4" w:rsidRDefault="005A7CD4" w:rsidP="005A7CD4">
            <w:pPr>
              <w:rPr>
                <w:rFonts w:asciiTheme="majorHAnsi" w:hAnsiTheme="majorHAnsi" w:cstheme="majorHAnsi"/>
                <w:sz w:val="28"/>
                <w:szCs w:val="28"/>
                <w:lang w:val="en-US"/>
              </w:rPr>
            </w:pPr>
            <w:r>
              <w:rPr>
                <w:rFonts w:asciiTheme="majorHAnsi" w:hAnsiTheme="majorHAnsi" w:cstheme="majorHAnsi"/>
                <w:sz w:val="28"/>
                <w:szCs w:val="28"/>
                <w:lang w:val="en-US"/>
              </w:rPr>
              <w:t>Quý II/2017</w:t>
            </w:r>
          </w:p>
        </w:tc>
      </w:tr>
      <w:tr w:rsidR="005A7CD4" w:rsidTr="00B35AEB">
        <w:trPr>
          <w:trHeight w:val="660"/>
        </w:trPr>
        <w:tc>
          <w:tcPr>
            <w:tcW w:w="872" w:type="dxa"/>
          </w:tcPr>
          <w:p w:rsidR="005A7CD4" w:rsidRDefault="005A7CD4">
            <w:pPr>
              <w:ind w:firstLine="0"/>
              <w:rPr>
                <w:rFonts w:asciiTheme="majorHAnsi" w:hAnsiTheme="majorHAnsi" w:cstheme="majorHAnsi"/>
                <w:sz w:val="28"/>
                <w:szCs w:val="28"/>
                <w:lang w:val="en-US"/>
              </w:rPr>
            </w:pPr>
          </w:p>
        </w:tc>
        <w:tc>
          <w:tcPr>
            <w:tcW w:w="2780" w:type="dxa"/>
          </w:tcPr>
          <w:p w:rsidR="005A7CD4" w:rsidRDefault="005A7CD4" w:rsidP="00394F97">
            <w:pPr>
              <w:tabs>
                <w:tab w:val="left" w:pos="1100"/>
              </w:tabs>
              <w:ind w:firstLine="0"/>
              <w:rPr>
                <w:rFonts w:asciiTheme="majorHAnsi" w:hAnsiTheme="majorHAnsi" w:cstheme="majorHAnsi"/>
                <w:sz w:val="28"/>
                <w:szCs w:val="28"/>
                <w:lang w:val="en-US"/>
              </w:rPr>
            </w:pPr>
          </w:p>
        </w:tc>
        <w:tc>
          <w:tcPr>
            <w:tcW w:w="8647" w:type="dxa"/>
          </w:tcPr>
          <w:p w:rsidR="005A7CD4" w:rsidRPr="005A7CD4" w:rsidRDefault="005A7CD4" w:rsidP="005A7CD4">
            <w:pPr>
              <w:tabs>
                <w:tab w:val="left" w:pos="1100"/>
              </w:tabs>
              <w:ind w:firstLine="0"/>
              <w:rPr>
                <w:rFonts w:asciiTheme="majorHAnsi" w:hAnsiTheme="majorHAnsi" w:cstheme="majorHAnsi"/>
                <w:sz w:val="28"/>
                <w:szCs w:val="28"/>
                <w:lang w:val="en-US"/>
              </w:rPr>
            </w:pPr>
          </w:p>
        </w:tc>
        <w:tc>
          <w:tcPr>
            <w:tcW w:w="2203" w:type="dxa"/>
          </w:tcPr>
          <w:p w:rsidR="005A7CD4" w:rsidRDefault="005A7CD4" w:rsidP="005A7CD4">
            <w:pPr>
              <w:rPr>
                <w:rFonts w:asciiTheme="majorHAnsi" w:hAnsiTheme="majorHAnsi" w:cstheme="majorHAnsi"/>
                <w:sz w:val="28"/>
                <w:szCs w:val="28"/>
                <w:lang w:val="en-US"/>
              </w:rPr>
            </w:pPr>
          </w:p>
        </w:tc>
      </w:tr>
    </w:tbl>
    <w:p w:rsidR="006073D3" w:rsidRPr="006073D3" w:rsidRDefault="006073D3">
      <w:pPr>
        <w:rPr>
          <w:rFonts w:asciiTheme="majorHAnsi" w:hAnsiTheme="majorHAnsi" w:cstheme="majorHAnsi"/>
          <w:sz w:val="28"/>
          <w:szCs w:val="28"/>
          <w:lang w:val="en-US"/>
        </w:rPr>
      </w:pPr>
    </w:p>
    <w:sectPr w:rsidR="006073D3" w:rsidRPr="006073D3" w:rsidSect="006073D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drawingGridHorizontalSpacing w:val="110"/>
  <w:displayHorizontalDrawingGridEvery w:val="2"/>
  <w:characterSpacingControl w:val="doNotCompress"/>
  <w:compat/>
  <w:rsids>
    <w:rsidRoot w:val="006073D3"/>
    <w:rsid w:val="00061B70"/>
    <w:rsid w:val="00351BFC"/>
    <w:rsid w:val="00394F97"/>
    <w:rsid w:val="003D0D6A"/>
    <w:rsid w:val="004B2E5F"/>
    <w:rsid w:val="005A7CD4"/>
    <w:rsid w:val="006073D3"/>
    <w:rsid w:val="007E74F6"/>
    <w:rsid w:val="00B35AEB"/>
    <w:rsid w:val="00E15C57"/>
    <w:rsid w:val="00E67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240" w:after="120" w:line="24"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3D3"/>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2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Name</cp:lastModifiedBy>
  <cp:revision>2</cp:revision>
  <dcterms:created xsi:type="dcterms:W3CDTF">2017-05-09T02:10:00Z</dcterms:created>
  <dcterms:modified xsi:type="dcterms:W3CDTF">2017-05-09T02:10:00Z</dcterms:modified>
</cp:coreProperties>
</file>